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32F53">
      <w:pPr>
        <w:jc w:val="right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Anexa nr. 4 la Statutul orașului Vașcău</w:t>
      </w:r>
    </w:p>
    <w:p w14:paraId="2148E6B5">
      <w:pPr>
        <w:jc w:val="right"/>
        <w:rPr>
          <w:rFonts w:ascii="Times New Roman" w:hAnsi="Times New Roman" w:eastAsia="Times New Roman"/>
          <w:color w:val="C00000"/>
          <w:sz w:val="24"/>
          <w:szCs w:val="24"/>
          <w:shd w:val="clear" w:color="auto" w:fill="FFFFFF"/>
        </w:rPr>
      </w:pPr>
    </w:p>
    <w:p w14:paraId="0CA53964">
      <w:pPr>
        <w:jc w:val="center"/>
        <w:rPr>
          <w:rFonts w:ascii="Times New Roman" w:hAnsi="Times New Roman" w:eastAsia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b/>
          <w:bCs/>
          <w:sz w:val="24"/>
          <w:szCs w:val="24"/>
          <w:shd w:val="clear" w:color="auto" w:fill="FFFFFF"/>
        </w:rPr>
        <w:t>Componența și structura populației orașului Vașcău, județul Bihor</w:t>
      </w:r>
    </w:p>
    <w:p w14:paraId="59C260BB">
      <w:pPr>
        <w:jc w:val="center"/>
        <w:rPr>
          <w:rFonts w:ascii="Times New Roman" w:hAnsi="Times New Roman" w:eastAsia="Times New Roman"/>
          <w:sz w:val="28"/>
          <w:szCs w:val="23"/>
          <w:shd w:val="clear" w:color="auto" w:fill="FFFFFF"/>
        </w:rPr>
      </w:pPr>
    </w:p>
    <w:p w14:paraId="48DC0575">
      <w:pPr>
        <w:ind w:firstLine="72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Conform </w:t>
      </w:r>
      <w:r>
        <w:fldChar w:fldCharType="begin"/>
      </w:r>
      <w:r>
        <w:instrText xml:space="preserve"> HYPERLINK "http://ro.wikipedia.org/wiki/Recens%C4%83m%C3%A2ntul_popula%C8%9Biei_din_2011_%28Rom%C3%A2nia%29" \o "Recensământul populației din 2011 (România)" </w:instrText>
      </w:r>
      <w:r>
        <w:fldChar w:fldCharType="separate"/>
      </w:r>
      <w:r>
        <w:rPr>
          <w:rStyle w:val="6"/>
          <w:rFonts w:ascii="Times New Roman" w:hAnsi="Times New Roman"/>
          <w:color w:val="000000"/>
          <w:sz w:val="24"/>
          <w:u w:val="none"/>
        </w:rPr>
        <w:t>recensământului efectuat în 2011</w:t>
      </w:r>
      <w:r>
        <w:rPr>
          <w:rStyle w:val="6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efectuat de Institutul National de Statistica, populația oraşului Vaşcău se ridică la 2.562 locuitori, în scădere față de </w:t>
      </w:r>
      <w:r>
        <w:fldChar w:fldCharType="begin"/>
      </w:r>
      <w:r>
        <w:instrText xml:space="preserve"> HYPERLINK "http://ro.wikipedia.org/wiki/Recens%C4%83m%C3%A2ntul_popula%C8%9Biei_din_2002_%28Rom%C3%A2nia%29" \o "Recensământul populației din 2002 (România)" </w:instrText>
      </w:r>
      <w:r>
        <w:fldChar w:fldCharType="separate"/>
      </w:r>
      <w:r>
        <w:rPr>
          <w:rStyle w:val="6"/>
          <w:rFonts w:ascii="Times New Roman" w:hAnsi="Times New Roman"/>
          <w:color w:val="000000"/>
          <w:sz w:val="24"/>
          <w:u w:val="none"/>
        </w:rPr>
        <w:t>recensământul anterior din 2002</w:t>
      </w:r>
      <w:r>
        <w:rPr>
          <w:rStyle w:val="6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, când se înregistraseră 2.854 de locuitori. Majoritatea locuitorilor sunt </w:t>
      </w:r>
      <w:r>
        <w:fldChar w:fldCharType="begin"/>
      </w:r>
      <w:r>
        <w:instrText xml:space="preserve"> HYPERLINK "http://ro.wikipedia.org/wiki/Rom%C3%A2ni" \o "Români" </w:instrText>
      </w:r>
      <w:r>
        <w:fldChar w:fldCharType="separate"/>
      </w:r>
      <w:r>
        <w:rPr>
          <w:rStyle w:val="6"/>
          <w:rFonts w:ascii="Times New Roman" w:hAnsi="Times New Roman"/>
          <w:color w:val="000000"/>
          <w:sz w:val="24"/>
          <w:u w:val="none"/>
        </w:rPr>
        <w:t>români</w:t>
      </w:r>
      <w:r>
        <w:rPr>
          <w:rStyle w:val="6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(94,9%), cu o minoritate de r</w:t>
      </w:r>
      <w:r>
        <w:fldChar w:fldCharType="begin"/>
      </w:r>
      <w:r>
        <w:instrText xml:space="preserve"> HYPERLINK "http://ro.wikipedia.org/wiki/Romii_din_Rom%C3%A2nia" \o "Romii din România" </w:instrText>
      </w:r>
      <w:r>
        <w:fldChar w:fldCharType="separate"/>
      </w:r>
      <w:r>
        <w:rPr>
          <w:rStyle w:val="6"/>
          <w:rFonts w:ascii="Times New Roman" w:hAnsi="Times New Roman"/>
          <w:color w:val="000000"/>
          <w:sz w:val="24"/>
          <w:u w:val="none"/>
        </w:rPr>
        <w:t>romi</w:t>
      </w:r>
      <w:r>
        <w:rPr>
          <w:rStyle w:val="6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(2,89%). Pentru 1,3% din populație, apartenența etnică nu este cunoscută. Din punct de vedere confesional, majoritatea locuitorilor sunt </w:t>
      </w:r>
      <w:r>
        <w:fldChar w:fldCharType="begin"/>
      </w:r>
      <w:r>
        <w:instrText xml:space="preserve"> HYPERLINK "http://ro.wikipedia.org/wiki/Biserica_Ortodox%C4%83_Rom%C3%A2n%C4%83" \o "Biserica Ortodoxă Română" </w:instrText>
      </w:r>
      <w:r>
        <w:fldChar w:fldCharType="separate"/>
      </w:r>
      <w:r>
        <w:rPr>
          <w:rStyle w:val="6"/>
          <w:rFonts w:ascii="Times New Roman" w:hAnsi="Times New Roman"/>
          <w:color w:val="000000"/>
          <w:sz w:val="24"/>
          <w:u w:val="none"/>
        </w:rPr>
        <w:t>ortodocşi</w:t>
      </w:r>
      <w:r>
        <w:rPr>
          <w:rStyle w:val="6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(94,69%), dar există şi minorități de </w:t>
      </w:r>
      <w:r>
        <w:fldChar w:fldCharType="begin"/>
      </w:r>
      <w:r>
        <w:instrText xml:space="preserve"> HYPERLINK "http://ro.wikipedia.org/wiki/Bapti%C8%99ti" \o "Baptiști" </w:instrText>
      </w:r>
      <w:r>
        <w:fldChar w:fldCharType="separate"/>
      </w:r>
      <w:r>
        <w:rPr>
          <w:rStyle w:val="6"/>
          <w:rFonts w:ascii="Times New Roman" w:hAnsi="Times New Roman"/>
          <w:color w:val="000000"/>
          <w:sz w:val="24"/>
          <w:u w:val="none"/>
        </w:rPr>
        <w:t>baptişti</w:t>
      </w:r>
      <w:r>
        <w:rPr>
          <w:rStyle w:val="6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(1,38%) şi </w:t>
      </w:r>
      <w:r>
        <w:fldChar w:fldCharType="begin"/>
      </w:r>
      <w:r>
        <w:instrText xml:space="preserve"> HYPERLINK "http://ro.wikipedia.org/wiki/Penticostali" \o "Penticostali" </w:instrText>
      </w:r>
      <w:r>
        <w:fldChar w:fldCharType="separate"/>
      </w:r>
      <w:r>
        <w:rPr>
          <w:rStyle w:val="6"/>
          <w:rFonts w:ascii="Times New Roman" w:hAnsi="Times New Roman"/>
          <w:color w:val="000000"/>
          <w:sz w:val="24"/>
          <w:u w:val="none"/>
        </w:rPr>
        <w:t>penticostali</w:t>
      </w:r>
      <w:r>
        <w:rPr>
          <w:rStyle w:val="6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(1,25%). Pentru 1,3% din populație, nu este cunoscută apartenența confesională</w:t>
      </w:r>
    </w:p>
    <w:p w14:paraId="6755565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Populatia, conform recensamantului din anul 2011 efectuat de Institutul National de Statistica, pe localitatile componente este urmatoarea:</w:t>
      </w:r>
    </w:p>
    <w:p w14:paraId="5C01138D">
      <w:pPr>
        <w:spacing w:after="0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Vascău: 1781 locuitori;</w:t>
      </w:r>
    </w:p>
    <w:p w14:paraId="705477C4">
      <w:pPr>
        <w:spacing w:after="0" w:line="240" w:lineRule="auto"/>
        <w:ind w:left="72" w:right="72" w:firstLine="648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- Câmp: 249 locuitori;</w:t>
      </w:r>
    </w:p>
    <w:p w14:paraId="7506BDD8">
      <w:pPr>
        <w:spacing w:after="0" w:line="240" w:lineRule="auto"/>
        <w:ind w:left="72" w:right="72" w:firstLine="648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- Câmp-Moti: 44 locuitori;</w:t>
      </w:r>
    </w:p>
    <w:p w14:paraId="6DBB08BE">
      <w:pPr>
        <w:spacing w:after="0" w:line="240" w:lineRule="auto"/>
        <w:ind w:left="72" w:right="72" w:firstLine="648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- Colesti: 141 locuitori;</w:t>
      </w:r>
    </w:p>
    <w:p w14:paraId="7284F9FA">
      <w:pPr>
        <w:spacing w:after="0" w:line="240" w:lineRule="auto"/>
        <w:ind w:left="72" w:right="72" w:firstLine="648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- Varzarii de Jos: 162 locuitori;</w:t>
      </w:r>
    </w:p>
    <w:p w14:paraId="12E00574">
      <w:pPr>
        <w:spacing w:after="0" w:line="240" w:lineRule="auto"/>
        <w:ind w:left="72" w:right="72" w:firstLine="648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- Varzarii de Sus: 185 locuitori.</w:t>
      </w:r>
    </w:p>
    <w:p w14:paraId="4070A686">
      <w:pPr>
        <w:spacing w:after="0" w:line="240" w:lineRule="auto"/>
        <w:ind w:left="72" w:right="72" w:firstLine="648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</w:p>
    <w:p w14:paraId="4C12FD22">
      <w:pPr>
        <w:spacing w:after="0" w:line="240" w:lineRule="auto"/>
        <w:ind w:left="72" w:right="72" w:firstLine="648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</w:p>
    <w:p w14:paraId="27389497">
      <w:pPr>
        <w:spacing w:after="0" w:line="240" w:lineRule="auto"/>
        <w:ind w:left="72" w:right="72" w:firstLine="648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</w:p>
    <w:p w14:paraId="01FBC208">
      <w:pPr>
        <w:spacing w:after="0" w:line="240" w:lineRule="auto"/>
        <w:ind w:left="72" w:right="72" w:firstLine="648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</w:p>
    <w:p w14:paraId="6E0CF5E0">
      <w:pPr>
        <w:spacing w:after="0" w:line="240" w:lineRule="auto"/>
        <w:ind w:left="72" w:right="72" w:firstLine="6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 xml:space="preserve">Componenta etnică a orașului Vașcău, conform </w:t>
      </w:r>
      <w:r>
        <w:rPr>
          <w:rFonts w:ascii="Times New Roman" w:hAnsi="Times New Roman"/>
          <w:sz w:val="24"/>
        </w:rPr>
        <w:t>recensământului din anul 2011 efectuat de Institutul National de Statistică:</w:t>
      </w:r>
    </w:p>
    <w:p w14:paraId="33359375">
      <w:pPr>
        <w:spacing w:after="0" w:line="240" w:lineRule="auto"/>
        <w:ind w:left="72" w:right="72" w:firstLine="648"/>
        <w:jc w:val="both"/>
        <w:rPr>
          <w:rFonts w:ascii="Times New Roman" w:hAnsi="Times New Roman"/>
          <w:sz w:val="24"/>
        </w:rPr>
      </w:pPr>
    </w:p>
    <w:p w14:paraId="613148EB">
      <w:pPr>
        <w:pStyle w:val="7"/>
        <w:numPr>
          <w:ilvl w:val="0"/>
          <w:numId w:val="1"/>
        </w:numPr>
        <w:spacing w:line="720" w:lineRule="auto"/>
      </w:pPr>
      <w:r>
        <w:rPr>
          <w:lang/>
        </w:rPr>
        <w:pict>
          <v:shape id="Chart 1" o:spid="_x0000_s2051" o:spt="75" type="#_x0000_t75" style="position:absolute;left:0pt;margin-left:190.75pt;margin-top:13.75pt;height:139.2pt;width:261.1pt;mso-wrap-distance-left:9pt;mso-wrap-distance-right:9pt;z-index:-251657216;mso-width-relative:margin;mso-height-relative:margin;" o:ole="t" filled="f" stroked="f" coordsize="21600,21600" wrapcoords="186 581 186 20787 21290 20787 21290 581 186 581">
            <v:path/>
            <v:fill on="f" focussize="0,0"/>
            <v:stroke on="f"/>
            <v:imagedata r:id="rId9" o:title=""/>
            <o:lock v:ext="edit"/>
            <w10:wrap type="tight"/>
          </v:shape>
          <o:OLEObject Type="Embed" ProgID="Excel.Chart.8" ShapeID="Chart 1" DrawAspect="Content" ObjectID="_1468075725" r:id="rId8">
            <o:LockedField>false</o:LockedField>
          </o:OLEObject>
        </w:pict>
      </w:r>
      <w:r>
        <w:t>Români (94.9%)</w:t>
      </w:r>
    </w:p>
    <w:p w14:paraId="7278B5CD">
      <w:pPr>
        <w:pStyle w:val="7"/>
        <w:numPr>
          <w:ilvl w:val="0"/>
          <w:numId w:val="1"/>
        </w:numPr>
        <w:spacing w:line="720" w:lineRule="auto"/>
      </w:pPr>
      <w:r>
        <w:t>Romi (2.89%)</w:t>
      </w:r>
    </w:p>
    <w:p w14:paraId="12404996">
      <w:pPr>
        <w:pStyle w:val="7"/>
        <w:numPr>
          <w:ilvl w:val="0"/>
          <w:numId w:val="1"/>
        </w:numPr>
        <w:spacing w:line="720" w:lineRule="auto"/>
      </w:pPr>
      <w:r>
        <w:t>Necunoscută (1.29%)</w:t>
      </w:r>
    </w:p>
    <w:p w14:paraId="44098791">
      <w:pPr>
        <w:pStyle w:val="7"/>
        <w:numPr>
          <w:ilvl w:val="0"/>
          <w:numId w:val="1"/>
        </w:numPr>
        <w:spacing w:line="720" w:lineRule="auto"/>
      </w:pPr>
      <w:r>
        <w:t>Altă etnie (0.9%)</w:t>
      </w:r>
    </w:p>
    <w:p w14:paraId="2F36C2B4">
      <w:pPr>
        <w:pStyle w:val="7"/>
        <w:ind w:left="720"/>
      </w:pPr>
    </w:p>
    <w:p w14:paraId="57D0658F">
      <w:pPr>
        <w:pStyle w:val="7"/>
        <w:ind w:firstLine="720"/>
      </w:pPr>
      <w:r>
        <w:t xml:space="preserve">Componenta confesională a orașului Vașcău, </w:t>
      </w:r>
      <w:r>
        <w:rPr>
          <w:shd w:val="clear" w:color="auto" w:fill="FFFFFF"/>
        </w:rPr>
        <w:t xml:space="preserve">conform </w:t>
      </w:r>
      <w:r>
        <w:t>recensământului din anul 2011 efectuat de Institutul National de Statistică:</w:t>
      </w:r>
    </w:p>
    <w:p w14:paraId="06D0D921">
      <w:pPr>
        <w:spacing w:after="0" w:line="240" w:lineRule="auto"/>
        <w:ind w:left="72" w:right="72" w:firstLine="648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</w:p>
    <w:p w14:paraId="38F447DB">
      <w:pPr>
        <w:pStyle w:val="7"/>
        <w:numPr>
          <w:ilvl w:val="0"/>
          <w:numId w:val="1"/>
        </w:numPr>
        <w:spacing w:line="600" w:lineRule="auto"/>
      </w:pPr>
      <w:r>
        <w:rPr>
          <w:lang/>
        </w:rPr>
        <w:pict>
          <v:shape id="Chart 2" o:spid="_x0000_s2050" o:spt="75" type="#_x0000_t75" style="position:absolute;left:0pt;margin-left:204.2pt;margin-top:13.95pt;height:154.55pt;width:264.5pt;mso-wrap-distance-left:9pt;mso-wrap-distance-right:9pt;z-index:-251656192;mso-width-relative:margin;mso-height-relative:margin;" o:ole="t" filled="f" stroked="f" coordsize="21600,21600" wrapcoords="184 524 184 20866 21294 20866 21294 524 184 524">
            <v:path/>
            <v:fill on="f" focussize="0,0"/>
            <v:stroke on="f"/>
            <v:imagedata r:id="rId11" o:title=""/>
            <o:lock v:ext="edit"/>
            <w10:wrap type="tight"/>
          </v:shape>
          <o:OLEObject Type="Embed" ProgID="Excel.Chart.8" ShapeID="Chart 2" DrawAspect="Content" ObjectID="_1468075726" r:id="rId10">
            <o:LockedField>false</o:LockedField>
          </o:OLEObject>
        </w:pict>
      </w:r>
      <w:r>
        <w:t>Ortodocşi (94.68%)</w:t>
      </w:r>
    </w:p>
    <w:p w14:paraId="438589F4">
      <w:pPr>
        <w:pStyle w:val="7"/>
        <w:numPr>
          <w:ilvl w:val="0"/>
          <w:numId w:val="1"/>
        </w:numPr>
        <w:spacing w:line="600" w:lineRule="auto"/>
      </w:pPr>
      <w:r>
        <w:t>Penticostali (1.25%)</w:t>
      </w:r>
    </w:p>
    <w:p w14:paraId="6D12AE4F">
      <w:pPr>
        <w:pStyle w:val="7"/>
        <w:numPr>
          <w:ilvl w:val="0"/>
          <w:numId w:val="1"/>
        </w:numPr>
        <w:spacing w:line="600" w:lineRule="auto"/>
      </w:pPr>
      <w:r>
        <w:t>Baptişti (1.38%)</w:t>
      </w:r>
    </w:p>
    <w:p w14:paraId="4E0FF6F4">
      <w:pPr>
        <w:pStyle w:val="7"/>
        <w:numPr>
          <w:ilvl w:val="0"/>
          <w:numId w:val="1"/>
        </w:numPr>
        <w:spacing w:line="600" w:lineRule="auto"/>
      </w:pPr>
      <w:r>
        <w:t>Necunoscută (1.29%)</w:t>
      </w:r>
    </w:p>
    <w:p w14:paraId="0B3085C6">
      <w:pPr>
        <w:pStyle w:val="7"/>
        <w:numPr>
          <w:ilvl w:val="0"/>
          <w:numId w:val="1"/>
        </w:numPr>
        <w:spacing w:line="600" w:lineRule="auto"/>
      </w:pPr>
      <w:r>
        <w:t>Altă religie (1.38%)</w:t>
      </w:r>
    </w:p>
    <w:p w14:paraId="5F0A281F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Structura populatiei pe grupa de vârstă si sex:</w:t>
      </w:r>
    </w:p>
    <w:p w14:paraId="3C8DC115">
      <w:pPr>
        <w:ind w:firstLine="720"/>
        <w:jc w:val="both"/>
        <w:rPr>
          <w:rFonts w:ascii="Times New Roman" w:hAnsi="Times New Roman"/>
          <w:sz w:val="2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1440"/>
        <w:gridCol w:w="1530"/>
        <w:gridCol w:w="1530"/>
        <w:gridCol w:w="1530"/>
        <w:gridCol w:w="1525"/>
      </w:tblGrid>
      <w:tr w14:paraId="32DC7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50" w:hRule="atLeast"/>
        </w:trPr>
        <w:tc>
          <w:tcPr>
            <w:tcW w:w="1795" w:type="dxa"/>
            <w:vMerge w:val="restart"/>
            <w:shd w:val="clear" w:color="auto" w:fill="auto"/>
            <w:noWrap w:val="0"/>
            <w:vAlign w:val="top"/>
          </w:tcPr>
          <w:p w14:paraId="0F7E9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177F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Populatia orașului Vașcău</w:t>
            </w:r>
          </w:p>
        </w:tc>
        <w:tc>
          <w:tcPr>
            <w:tcW w:w="4500" w:type="dxa"/>
            <w:gridSpan w:val="3"/>
            <w:shd w:val="clear" w:color="auto" w:fill="auto"/>
            <w:noWrap w:val="0"/>
            <w:vAlign w:val="top"/>
          </w:tcPr>
          <w:p w14:paraId="5BDAA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Grupe de varsta</w:t>
            </w:r>
          </w:p>
        </w:tc>
        <w:tc>
          <w:tcPr>
            <w:tcW w:w="3055" w:type="dxa"/>
            <w:gridSpan w:val="2"/>
            <w:shd w:val="clear" w:color="auto" w:fill="auto"/>
            <w:noWrap w:val="0"/>
            <w:vAlign w:val="top"/>
          </w:tcPr>
          <w:p w14:paraId="7CCA1E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Structura pe sexe</w:t>
            </w:r>
          </w:p>
        </w:tc>
      </w:tr>
      <w:tr w14:paraId="2E19A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50" w:hRule="atLeast"/>
        </w:trPr>
        <w:tc>
          <w:tcPr>
            <w:tcW w:w="1795" w:type="dxa"/>
            <w:vMerge w:val="continue"/>
            <w:shd w:val="clear" w:color="auto" w:fill="auto"/>
            <w:noWrap w:val="0"/>
            <w:vAlign w:val="top"/>
          </w:tcPr>
          <w:p w14:paraId="5EA73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40" w:type="dxa"/>
            <w:shd w:val="clear" w:color="auto" w:fill="auto"/>
            <w:noWrap w:val="0"/>
            <w:vAlign w:val="top"/>
          </w:tcPr>
          <w:p w14:paraId="0D0573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 – 14 ani</w:t>
            </w:r>
          </w:p>
        </w:tc>
        <w:tc>
          <w:tcPr>
            <w:tcW w:w="1530" w:type="dxa"/>
            <w:shd w:val="clear" w:color="auto" w:fill="auto"/>
            <w:noWrap w:val="0"/>
            <w:vAlign w:val="top"/>
          </w:tcPr>
          <w:p w14:paraId="43AF3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– 64 ani</w:t>
            </w:r>
          </w:p>
        </w:tc>
        <w:tc>
          <w:tcPr>
            <w:tcW w:w="1530" w:type="dxa"/>
            <w:shd w:val="clear" w:color="auto" w:fill="auto"/>
            <w:noWrap w:val="0"/>
            <w:vAlign w:val="top"/>
          </w:tcPr>
          <w:p w14:paraId="7FA8C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peste 65 ani</w:t>
            </w:r>
          </w:p>
        </w:tc>
        <w:tc>
          <w:tcPr>
            <w:tcW w:w="1530" w:type="dxa"/>
            <w:shd w:val="clear" w:color="auto" w:fill="auto"/>
            <w:noWrap w:val="0"/>
            <w:vAlign w:val="top"/>
          </w:tcPr>
          <w:p w14:paraId="42771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Barbati</w:t>
            </w:r>
          </w:p>
        </w:tc>
        <w:tc>
          <w:tcPr>
            <w:tcW w:w="1525" w:type="dxa"/>
            <w:shd w:val="clear" w:color="auto" w:fill="auto"/>
            <w:noWrap w:val="0"/>
            <w:vAlign w:val="top"/>
          </w:tcPr>
          <w:p w14:paraId="6F959D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Femei</w:t>
            </w:r>
          </w:p>
        </w:tc>
      </w:tr>
      <w:tr w14:paraId="535BD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50" w:hRule="atLeast"/>
        </w:trPr>
        <w:tc>
          <w:tcPr>
            <w:tcW w:w="1795" w:type="dxa"/>
            <w:vMerge w:val="continue"/>
            <w:shd w:val="clear" w:color="auto" w:fill="auto"/>
            <w:noWrap w:val="0"/>
            <w:vAlign w:val="top"/>
          </w:tcPr>
          <w:p w14:paraId="308D8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40" w:type="dxa"/>
            <w:shd w:val="clear" w:color="auto" w:fill="auto"/>
            <w:noWrap w:val="0"/>
            <w:vAlign w:val="top"/>
          </w:tcPr>
          <w:p w14:paraId="5911FC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11%</w:t>
            </w:r>
          </w:p>
        </w:tc>
        <w:tc>
          <w:tcPr>
            <w:tcW w:w="1530" w:type="dxa"/>
            <w:shd w:val="clear" w:color="auto" w:fill="auto"/>
            <w:noWrap w:val="0"/>
            <w:vAlign w:val="top"/>
          </w:tcPr>
          <w:p w14:paraId="2ACB0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64%</w:t>
            </w:r>
          </w:p>
        </w:tc>
        <w:tc>
          <w:tcPr>
            <w:tcW w:w="1530" w:type="dxa"/>
            <w:shd w:val="clear" w:color="auto" w:fill="auto"/>
            <w:noWrap w:val="0"/>
            <w:vAlign w:val="top"/>
          </w:tcPr>
          <w:p w14:paraId="1AA12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25%</w:t>
            </w:r>
          </w:p>
        </w:tc>
        <w:tc>
          <w:tcPr>
            <w:tcW w:w="1530" w:type="dxa"/>
            <w:shd w:val="clear" w:color="auto" w:fill="auto"/>
            <w:noWrap w:val="0"/>
            <w:vAlign w:val="top"/>
          </w:tcPr>
          <w:p w14:paraId="470307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48%</w:t>
            </w:r>
          </w:p>
        </w:tc>
        <w:tc>
          <w:tcPr>
            <w:tcW w:w="1525" w:type="dxa"/>
            <w:shd w:val="clear" w:color="auto" w:fill="auto"/>
            <w:noWrap w:val="0"/>
            <w:vAlign w:val="top"/>
          </w:tcPr>
          <w:p w14:paraId="78405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52%</w:t>
            </w:r>
          </w:p>
        </w:tc>
      </w:tr>
    </w:tbl>
    <w:p w14:paraId="0F51AC4F">
      <w:pPr>
        <w:ind w:firstLine="720"/>
        <w:jc w:val="both"/>
        <w:rPr>
          <w:rFonts w:ascii="Times New Roman" w:hAnsi="Times New Roman"/>
          <w:sz w:val="24"/>
        </w:rPr>
      </w:pPr>
    </w:p>
    <w:p w14:paraId="4537C1C9">
      <w:pPr>
        <w:ind w:firstLine="720"/>
        <w:jc w:val="both"/>
        <w:rPr>
          <w:rFonts w:ascii="Times New Roman" w:hAnsi="Times New Roman"/>
          <w:sz w:val="24"/>
        </w:rPr>
      </w:pPr>
    </w:p>
    <w:p w14:paraId="7F0BE82F">
      <w:pPr>
        <w:ind w:firstLine="720"/>
        <w:jc w:val="both"/>
        <w:rPr>
          <w:rFonts w:ascii="Times New Roman" w:hAnsi="Times New Roman"/>
          <w:sz w:val="24"/>
        </w:rPr>
      </w:pPr>
    </w:p>
    <w:sectPr>
      <w:headerReference r:id="rId5" w:type="default"/>
      <w:footerReference r:id="rId6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91667">
    <w:pPr>
      <w:pStyle w:val="4"/>
      <w:spacing w:after="0"/>
      <w:rPr>
        <w:lang w:val="ro-RO"/>
      </w:rPr>
    </w:pPr>
    <w:r>
      <w:rPr>
        <w:lang w:val="ro-RO"/>
      </w:rPr>
      <w:t>PREȘEDINTE  DE  ȘEDINȚĂ                                                                      CONTRASEMNEAZĂ</w:t>
    </w:r>
  </w:p>
  <w:p w14:paraId="5864890A">
    <w:pPr>
      <w:pStyle w:val="4"/>
      <w:spacing w:after="0"/>
      <w:rPr>
        <w:lang w:val="ro-RO"/>
      </w:rPr>
    </w:pPr>
    <w:r>
      <w:rPr>
        <w:lang w:val="ro-RO"/>
      </w:rPr>
      <w:t xml:space="preserve"> LAZA -MATIUȚA   LIVIU                                                     SECRETAR  GENERAL  UAT  ORAȘ VAȘCĂU</w:t>
    </w:r>
  </w:p>
  <w:p w14:paraId="6843993E">
    <w:pPr>
      <w:pStyle w:val="4"/>
      <w:spacing w:after="0"/>
      <w:rPr>
        <w:lang w:val="ro-RO"/>
      </w:rPr>
    </w:pPr>
    <w:r>
      <w:rPr>
        <w:lang w:val="ro-RO"/>
      </w:rPr>
      <w:t xml:space="preserve">                                                                                                                          POP   RODICA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115DD">
    <w:pPr>
      <w:pStyle w:val="5"/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5245735</wp:posOffset>
          </wp:positionH>
          <wp:positionV relativeFrom="margin">
            <wp:posOffset>-809625</wp:posOffset>
          </wp:positionV>
          <wp:extent cx="574040" cy="808355"/>
          <wp:effectExtent l="0" t="0" r="16510" b="1079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rcRect b="6015"/>
                  <a:stretch>
                    <a:fillRect/>
                  </a:stretch>
                </pic:blipFill>
                <pic:spPr>
                  <a:xfrm>
                    <a:off x="0" y="0"/>
                    <a:ext cx="574040" cy="80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CONSILIUL LOCAL AL ORAȘULUI VAȘCĂU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3A55EE"/>
    <w:multiLevelType w:val="multilevel"/>
    <w:tmpl w:val="593A55EE"/>
    <w:lvl w:ilvl="0" w:tentative="0">
      <w:start w:val="5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976"/>
    <w:rsid w:val="00032546"/>
    <w:rsid w:val="00056E48"/>
    <w:rsid w:val="000A6933"/>
    <w:rsid w:val="00183796"/>
    <w:rsid w:val="002E5F85"/>
    <w:rsid w:val="00363582"/>
    <w:rsid w:val="00410F99"/>
    <w:rsid w:val="00474D19"/>
    <w:rsid w:val="004E3A5D"/>
    <w:rsid w:val="0053197C"/>
    <w:rsid w:val="00692B0F"/>
    <w:rsid w:val="006D51D3"/>
    <w:rsid w:val="006F2C35"/>
    <w:rsid w:val="00850795"/>
    <w:rsid w:val="00AB287D"/>
    <w:rsid w:val="00AE2FE3"/>
    <w:rsid w:val="00B464E5"/>
    <w:rsid w:val="00BA647A"/>
    <w:rsid w:val="00C37BA3"/>
    <w:rsid w:val="00C4528D"/>
    <w:rsid w:val="00D101D6"/>
    <w:rsid w:val="00D92976"/>
    <w:rsid w:val="00E46BCB"/>
    <w:rsid w:val="6CBB49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Style w:val="3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4">
    <w:name w:val="footer"/>
    <w:basedOn w:val="1"/>
    <w:link w:val="12"/>
    <w:unhideWhenUsed/>
    <w:uiPriority w:val="99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11"/>
    <w:unhideWhenUsed/>
    <w:uiPriority w:val="99"/>
    <w:pPr>
      <w:tabs>
        <w:tab w:val="center" w:pos="4680"/>
        <w:tab w:val="right" w:pos="9360"/>
      </w:tabs>
    </w:pPr>
  </w:style>
  <w:style w:type="character" w:styleId="6">
    <w:name w:val="Hyperlink"/>
    <w:uiPriority w:val="0"/>
    <w:rPr>
      <w:color w:val="0000FF"/>
      <w:u w:val="single"/>
    </w:rPr>
  </w:style>
  <w:style w:type="paragraph" w:styleId="7">
    <w:name w:val="Normal (Web)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o-RO" w:eastAsia="ro-RO"/>
    </w:rPr>
  </w:style>
  <w:style w:type="paragraph" w:styleId="8">
    <w:name w:val="Normal Indent"/>
    <w:basedOn w:val="1"/>
    <w:semiHidden/>
    <w:unhideWhenUsed/>
    <w:uiPriority w:val="99"/>
    <w:pPr>
      <w:ind w:left="720"/>
    </w:pPr>
  </w:style>
  <w:style w:type="table" w:styleId="9">
    <w:name w:val="Table Grid"/>
    <w:basedOn w:val="3"/>
    <w:uiPriority w:val="39"/>
    <w:pPr>
      <w:spacing w:after="0" w:line="240" w:lineRule="auto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Caracter Caracter Char Char"/>
    <w:basedOn w:val="1"/>
    <w:next w:val="8"/>
    <w:uiPriority w:val="0"/>
    <w:pPr>
      <w:spacing w:line="240" w:lineRule="exact"/>
    </w:pPr>
    <w:rPr>
      <w:rFonts w:ascii="Tahoma" w:hAnsi="Tahoma" w:eastAsia="Times New Roman" w:cs="Times New Roman"/>
      <w:sz w:val="20"/>
      <w:szCs w:val="20"/>
    </w:rPr>
  </w:style>
  <w:style w:type="character" w:customStyle="1" w:styleId="11">
    <w:name w:val="Header Char"/>
    <w:link w:val="5"/>
    <w:uiPriority w:val="99"/>
    <w:rPr>
      <w:sz w:val="22"/>
      <w:szCs w:val="22"/>
    </w:rPr>
  </w:style>
  <w:style w:type="character" w:customStyle="1" w:styleId="12">
    <w:name w:val="Footer Char"/>
    <w:link w:val="4"/>
    <w:uiPriority w:val="99"/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8" Type="http://schemas.openxmlformats.org/officeDocument/2006/relationships/oleObject" Target="embeddings/oleObject1.bin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3.e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229</Words>
  <Characters>1386</Characters>
  <Lines>16</Lines>
  <Paragraphs>4</Paragraphs>
  <TotalTime>0</TotalTime>
  <ScaleCrop>false</ScaleCrop>
  <LinksUpToDate>false</LinksUpToDate>
  <CharactersWithSpaces>1581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2021-12-08T14:15:00Z</dcterms:created>
  <dc:creator>PC</dc:creator>
  <cp:lastModifiedBy>USER</cp:lastModifiedBy>
  <cp:lastPrinted>2021-12-12T14:56:00Z</cp:lastPrinted>
  <dcterms:modified xsi:type="dcterms:W3CDTF">2026-10-14T05:55:53Z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1E5EE60BF92647ABAABA4971541B135C_13</vt:lpwstr>
  </property>
</Properties>
</file>